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ind w:right="512" w:rightChars="244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附件：</w:t>
      </w:r>
    </w:p>
    <w:p>
      <w:pPr>
        <w:adjustRightInd w:val="0"/>
        <w:snapToGrid w:val="0"/>
        <w:spacing w:before="120" w:beforeLines="50" w:after="120" w:afterLines="50" w:line="400" w:lineRule="exact"/>
        <w:ind w:firstLine="482" w:firstLineChars="200"/>
        <w:jc w:val="center"/>
        <w:rPr>
          <w:rFonts w:hint="eastAsia" w:ascii="宋体" w:hAnsi="宋体"/>
          <w:b/>
          <w:sz w:val="24"/>
        </w:rPr>
      </w:pPr>
      <w:bookmarkStart w:id="0" w:name="_GoBack"/>
      <w:r>
        <w:rPr>
          <w:rFonts w:hint="eastAsia" w:ascii="宋体" w:hAnsi="宋体"/>
          <w:b/>
          <w:sz w:val="24"/>
        </w:rPr>
        <w:t>长春科技学院校级精品课程评审指标体系</w:t>
      </w:r>
    </w:p>
    <w:bookmarkEnd w:id="0"/>
    <w:tbl>
      <w:tblPr>
        <w:tblStyle w:val="3"/>
        <w:tblW w:w="9355" w:type="dxa"/>
        <w:jc w:val="center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0"/>
        <w:gridCol w:w="734"/>
        <w:gridCol w:w="18"/>
        <w:gridCol w:w="1246"/>
        <w:gridCol w:w="3278"/>
        <w:gridCol w:w="819"/>
        <w:gridCol w:w="614"/>
        <w:gridCol w:w="614"/>
        <w:gridCol w:w="617"/>
        <w:gridCol w:w="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  <w:jc w:val="center"/>
        </w:trPr>
        <w:tc>
          <w:tcPr>
            <w:tcW w:w="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一级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指标</w:t>
            </w:r>
          </w:p>
        </w:tc>
        <w:tc>
          <w:tcPr>
            <w:tcW w:w="7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二级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指标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观测点</w:t>
            </w:r>
          </w:p>
        </w:tc>
        <w:tc>
          <w:tcPr>
            <w:tcW w:w="3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评审标准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（Mi）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评分等级（Ki）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 w:hRule="atLeast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1.0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0.8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0.6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8" w:hRule="atLeast"/>
          <w:jc w:val="center"/>
        </w:trPr>
        <w:tc>
          <w:tcPr>
            <w:tcW w:w="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伍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1-1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教师风范、学术水平与教学水平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课程负责人与主讲教师师德好，学术造诣高，教学能力强，教学经验丰富，教学特色鲜明。课程负责人近三年主讲此门课程不少于两轮。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5分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7" w:hRule="atLeast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1-2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队伍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知识结构、年龄结构、人员配置与青年教师培养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教学团队中的教师责任感强、团结协作精神好；有合理的知识结构、年龄结构和学缘结构，并根据课程需要配备辅导教师；青年教师的培养计划科学合理，并取得实际效果；鼓励有行业背景的专家参与教学团队。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5分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3" w:hRule="atLeast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1-3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究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教研活动与教学成果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教学思想活跃，教学改革有创意；教研活动推动了教学改革，取得了明显成效，有省部级以上的教学成果、规划教材或教改项目；发表了高质量的教研论文。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6分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3" w:hRule="atLeast"/>
          <w:jc w:val="center"/>
        </w:trPr>
        <w:tc>
          <w:tcPr>
            <w:tcW w:w="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7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2-1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内容[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课程内容设计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课程内容设计要根据人才培养目标，体现现代教育思想，符合科学性、先进性和教育教学的规律。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8分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3" w:hRule="atLeast"/>
          <w:jc w:val="center"/>
        </w:trPr>
        <w:tc>
          <w:tcPr>
            <w:tcW w:w="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理论课程内容经典与现代的关系处理得当，具有基础性、研究性、前沿性，能及时把学科最新发展成果和教改教研成果引入教学。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2" w:hRule="atLeast"/>
          <w:jc w:val="center"/>
        </w:trPr>
        <w:tc>
          <w:tcPr>
            <w:tcW w:w="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实验课程内容（含独立设置的实验课）的技术性、综合性和探索性的关系处理得当，能有效培养学生的实践能力和创新能力。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6" w:hRule="atLeast"/>
          <w:jc w:val="center"/>
        </w:trPr>
        <w:tc>
          <w:tcPr>
            <w:tcW w:w="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2-2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组织与安排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理论联系实际，课内课外结合，融知识传授、能力培养、素质教育于一体；鼓励开展相关实习、社会调查或其他实践活动，成效显著。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8分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0" w:hRule="atLeast"/>
          <w:jc w:val="center"/>
        </w:trPr>
        <w:tc>
          <w:tcPr>
            <w:tcW w:w="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3-1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料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教材及相关资料建设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选用优秀教材（含国家精品教材和国家规划教材、国外高水平原版教材或高水平的自编教材）；课件、案例、习题等相关资料丰富，并为学生的研究性学习和自主学习提供了有效的文献资料；实验教材配套齐全，能满足教学需要。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8分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3-2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126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实践教学环境的先进性与开放性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实践教学条件能很好满足教学要求；能进行开放式教学，效果明显（理工类课程能开出高水平的选作实验）。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  <w:jc w:val="center"/>
        </w:trPr>
        <w:tc>
          <w:tcPr>
            <w:tcW w:w="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3-3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</w:t>
            </w:r>
          </w:p>
        </w:tc>
        <w:tc>
          <w:tcPr>
            <w:tcW w:w="126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网络教学资源和硬件环境</w:t>
            </w:r>
          </w:p>
        </w:tc>
        <w:tc>
          <w:tcPr>
            <w:tcW w:w="3278" w:type="dxa"/>
            <w:tcBorders>
              <w:top w:val="single" w:color="000000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学校网络硬件环境良好，课程网站运行良好，教学资源丰富，辅教、辅学功能齐全，并能有效共享。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8分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5" w:hRule="atLeast"/>
          <w:jc w:val="center"/>
        </w:trPr>
        <w:tc>
          <w:tcPr>
            <w:tcW w:w="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4-1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教学理念与教学设计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重视探究性学习、研究性学习，体现以学生为主体、以教师为主导的教育理念；能根据课程内容和学生特点，进行合理的教学设计（包括教学方法、教学手段、考核方式等）。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6分</w:t>
            </w:r>
          </w:p>
        </w:tc>
        <w:tc>
          <w:tcPr>
            <w:tcW w:w="61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5" w:hRule="atLeast"/>
          <w:jc w:val="center"/>
        </w:trPr>
        <w:tc>
          <w:tcPr>
            <w:tcW w:w="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4-2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多种教学方法的使用及其效果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重视教学方法改革，能灵活运用多种恰当的教学方法，有效调动学生学习积极性，促进学生学习能力发展。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10分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5" w:hRule="atLeast"/>
          <w:jc w:val="center"/>
        </w:trPr>
        <w:tc>
          <w:tcPr>
            <w:tcW w:w="8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4-3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手段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信息技术的应用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恰当充分地使用现代教育技术手段开展教学活动，并在激发学生学习兴趣和提高教学效果方面取得实效。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3" w:hRule="atLeast"/>
          <w:jc w:val="center"/>
        </w:trPr>
        <w:tc>
          <w:tcPr>
            <w:tcW w:w="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</w:tc>
        <w:tc>
          <w:tcPr>
            <w:tcW w:w="73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5-1同行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内督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1264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校内外专家及校内督导组评价与声誉</w:t>
            </w:r>
          </w:p>
        </w:tc>
        <w:tc>
          <w:tcPr>
            <w:tcW w:w="3278" w:type="dxa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证明材料真实可信，评价优秀；有良好声誉。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5分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1" w:hRule="atLeast"/>
          <w:jc w:val="center"/>
        </w:trPr>
        <w:tc>
          <w:tcPr>
            <w:tcW w:w="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5-2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评教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学生评价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学生评价原始材料真实可靠，结果优良，应有学校教务部门出具的近三年的学生评教数据的佐证材料。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5分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6" w:hRule="atLeast"/>
          <w:jc w:val="center"/>
        </w:trPr>
        <w:tc>
          <w:tcPr>
            <w:tcW w:w="8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5-3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录像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课堂实录</w:t>
            </w:r>
          </w:p>
        </w:tc>
        <w:tc>
          <w:tcPr>
            <w:tcW w:w="3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能有效利用各种教学媒体、富有热情和感染力地对问题进行深入浅出的阐述，重点突出、思路清晰、内容娴熟、信息量大；课堂内容能反映或联系学科发展的新思想、新概念、新成果，能启迪学生的思考、联想及创新思维。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6分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1" w:hRule="atLeast"/>
          <w:jc w:val="center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特色、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辐射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共享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20分</w:t>
            </w:r>
          </w:p>
        </w:tc>
        <w:tc>
          <w:tcPr>
            <w:tcW w:w="5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专家依据《长春科技学院精品课程申报表》所报特色及创新点打分。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8分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810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所在分院（部）支持鼓励精品课程建设的政策措施得力。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6分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810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辐射共享措施有力，未来建设计划可行。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6分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注：总分（百分制）计算：M=∑KiMi，其中Ki为评分等级系数，A、B、C、D的系数分别为1.0、0.8、0.6、0.4，Mi是各二级指标的分值。</w:t>
      </w: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53CE7"/>
    <w:rsid w:val="37153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2018-04-22T12:00:00Z</dcterms:created>
  <dc:creator>qianying</dc:creator>
  <cp:lastModifiedBy>qianying</cp:lastModifiedBy>
  <dcterms:modified xsi:type="dcterms:W3CDTF">2018-04-22T12:01:59Z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