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附件1：</w:t>
      </w:r>
      <w:bookmarkStart w:id="0" w:name="_GoBack"/>
      <w:r>
        <w:rPr>
          <w:rFonts w:hint="eastAsia"/>
          <w:sz w:val="24"/>
        </w:rPr>
        <w:t>长春科技学院理论课堂教学质量标准</w:t>
      </w:r>
      <w:bookmarkEnd w:id="0"/>
    </w:p>
    <w:tbl>
      <w:tblPr>
        <w:tblStyle w:val="3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教学态度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教师具有良好的职业道德，为人师表，治学严谨，遵守教学秩序。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备课充分，教学资料准备齐全；教风严谨，认真组织教学，严格要求学生。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仪表端庄，教态自然，肢体语言运用恰当。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重视学生的反馈意见，不断改进教学方法。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辅导答疑及时、认真，并作记录。经常、主动、耐心，并注重对学生学习方法的指导和自学能力的培养。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作业次数符合规定；作业批改认真仔细、及时，有评定成绩，适时进行总结和讲评。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教学内容符合教学大纲要求，科学制定教学进度。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全面掌握教学内容，了解相关学科与本课程的联系，信息量适度，反映最新政策法规和改革经验及学科新成果前沿动态，具有一定的创新性和适用性。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课堂容量饱满，内容处理得当，统筹安排，融知识、能力、品德教育于一体。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选用规划教材、优秀教材、新教材，为研究性和自主性学习提供参考文献。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教学方法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教学方法灵活多样，善于提出问题，开拓思路，启迪思维，激发兴趣；理论联系实际；注重因材施教。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灵活运用启发式、案例式等多种教学方式方法，培养学生的创新精神和实践能力。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合理采用现代化教学手段，且效果好。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教学能力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语言表达清晰、流畅，条理分明，快慢适中，感染力强。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讲课层次分明，概念准确，重点突出，难度、深度适宜，分析透彻。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板书设计合理，字迹规范；多媒体等现代教学辅助手段运用合理、有效。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注重师生互动，善于调动学生积极性，学生听课认真，思维活跃。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课堂秩序良好，学生到课率高，课堂气氛活跃，互动良好。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学生能较好理解教学内容，掌握基本理论、基本知识和基本技能，效果良好。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学生学习能力和分析、解决问题的能力得到提高。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学生评教满意度高。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F4528"/>
    <w:rsid w:val="20EF4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2018-04-22T11:00:00Z</dcterms:created>
  <dc:creator>qianying</dc:creator>
  <cp:lastModifiedBy>qianying</cp:lastModifiedBy>
  <dcterms:modified xsi:type="dcterms:W3CDTF">2018-04-22T11:01:16Z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